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BB" w:rsidRPr="00645FE8" w:rsidRDefault="00E504BB" w:rsidP="00E504BB">
      <w:pPr>
        <w:pStyle w:val="Titolo1"/>
        <w:shd w:val="clear" w:color="auto" w:fill="FFFFFF"/>
        <w:spacing w:before="0" w:after="360"/>
        <w:jc w:val="center"/>
        <w:rPr>
          <w:rFonts w:asciiTheme="minorHAnsi" w:hAnsiTheme="minorHAnsi" w:cstheme="minorHAnsi"/>
          <w:b/>
          <w:bCs/>
          <w:color w:val="19191A"/>
          <w:spacing w:val="-18"/>
          <w:sz w:val="20"/>
          <w:szCs w:val="20"/>
        </w:rPr>
      </w:pPr>
      <w:bookmarkStart w:id="0" w:name="_GoBack"/>
      <w:r w:rsidRPr="00645FE8">
        <w:rPr>
          <w:rFonts w:asciiTheme="minorHAnsi" w:hAnsiTheme="minorHAnsi" w:cstheme="minorHAnsi"/>
          <w:b/>
          <w:bCs/>
          <w:color w:val="19191A"/>
          <w:spacing w:val="-18"/>
          <w:sz w:val="20"/>
          <w:szCs w:val="20"/>
        </w:rPr>
        <w:t>Scoperta imprenditoriale</w:t>
      </w:r>
    </w:p>
    <w:bookmarkEnd w:id="0"/>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L’intervento, realizzato nell'ambito del </w:t>
      </w:r>
      <w:r w:rsidRPr="001F5636">
        <w:rPr>
          <w:rFonts w:eastAsia="Times New Roman" w:cstheme="minorHAnsi"/>
          <w:i/>
          <w:iCs/>
          <w:color w:val="19191A"/>
          <w:sz w:val="20"/>
          <w:szCs w:val="20"/>
          <w:lang w:eastAsia="it-IT"/>
        </w:rPr>
        <w:t>Programma Nazionale Ricerca, Innovazione e Competitività 2021-27</w:t>
      </w:r>
      <w:r w:rsidRPr="001F5636">
        <w:rPr>
          <w:rFonts w:eastAsia="Times New Roman" w:cstheme="minorHAnsi"/>
          <w:b/>
          <w:bCs/>
          <w:color w:val="19191A"/>
          <w:sz w:val="20"/>
          <w:szCs w:val="20"/>
          <w:lang w:eastAsia="it-IT"/>
        </w:rPr>
        <w:t>,</w:t>
      </w:r>
      <w:r w:rsidRPr="001F5636">
        <w:rPr>
          <w:rFonts w:eastAsia="Times New Roman" w:cstheme="minorHAnsi"/>
          <w:color w:val="19191A"/>
          <w:sz w:val="20"/>
          <w:szCs w:val="20"/>
          <w:lang w:eastAsia="it-IT"/>
        </w:rPr>
        <w:t> sostiene progetti di ricerca e sviluppo, da realizzare nei territori delle </w:t>
      </w:r>
      <w:r w:rsidRPr="001F5636">
        <w:rPr>
          <w:rFonts w:eastAsia="Times New Roman" w:cstheme="minorHAnsi"/>
          <w:b/>
          <w:bCs/>
          <w:color w:val="19191A"/>
          <w:sz w:val="20"/>
          <w:szCs w:val="20"/>
          <w:lang w:eastAsia="it-IT"/>
        </w:rPr>
        <w:t>Regioni meno sviluppate.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I progetti devono essere coerenti con le aree tematiche della </w:t>
      </w:r>
      <w:r w:rsidRPr="001F5636">
        <w:rPr>
          <w:rFonts w:eastAsia="Times New Roman" w:cstheme="minorHAnsi"/>
          <w:b/>
          <w:bCs/>
          <w:color w:val="19191A"/>
          <w:sz w:val="20"/>
          <w:szCs w:val="20"/>
          <w:lang w:eastAsia="it-IT"/>
        </w:rPr>
        <w:t>Strategia nazionale di specializzazione intelligente</w:t>
      </w:r>
      <w:r w:rsidRPr="001F5636">
        <w:rPr>
          <w:rFonts w:eastAsia="Times New Roman" w:cstheme="minorHAnsi"/>
          <w:color w:val="19191A"/>
          <w:sz w:val="20"/>
          <w:szCs w:val="20"/>
          <w:lang w:eastAsia="it-IT"/>
        </w:rPr>
        <w:t> ovvero finalizzati a individuare traiettorie tecnologiche e applicative evolutive della stessa.</w:t>
      </w:r>
    </w:p>
    <w:p w:rsidR="00E504BB" w:rsidRPr="001F5636" w:rsidRDefault="00E504BB" w:rsidP="00E504BB">
      <w:pPr>
        <w:shd w:val="clear" w:color="auto" w:fill="FFFFFF"/>
        <w:spacing w:after="100" w:afterAutospacing="1" w:line="240" w:lineRule="auto"/>
        <w:rPr>
          <w:rFonts w:eastAsia="Times New Roman" w:cstheme="minorHAnsi"/>
          <w:b/>
          <w:bCs/>
          <w:color w:val="19191A"/>
          <w:sz w:val="20"/>
          <w:szCs w:val="20"/>
          <w:lang w:eastAsia="it-IT"/>
        </w:rPr>
      </w:pPr>
      <w:r w:rsidRPr="001F5636">
        <w:rPr>
          <w:rFonts w:eastAsia="Times New Roman" w:cstheme="minorHAnsi"/>
          <w:color w:val="19191A"/>
          <w:sz w:val="20"/>
          <w:szCs w:val="20"/>
          <w:lang w:eastAsia="it-IT"/>
        </w:rPr>
        <w:t> </w:t>
      </w:r>
      <w:r w:rsidRPr="001F5636">
        <w:rPr>
          <w:rFonts w:eastAsia="Times New Roman" w:cstheme="minorHAnsi"/>
          <w:b/>
          <w:bCs/>
          <w:color w:val="19191A"/>
          <w:sz w:val="20"/>
          <w:szCs w:val="20"/>
          <w:lang w:eastAsia="it-IT"/>
        </w:rPr>
        <w:t>Le risorse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Con il </w:t>
      </w:r>
      <w:hyperlink r:id="rId5" w:history="1">
        <w:r w:rsidRPr="001F5636">
          <w:rPr>
            <w:rFonts w:eastAsia="Times New Roman" w:cstheme="minorHAnsi"/>
            <w:color w:val="0066CC"/>
            <w:sz w:val="20"/>
            <w:szCs w:val="20"/>
            <w:u w:val="single"/>
            <w:lang w:eastAsia="it-IT"/>
          </w:rPr>
          <w:t>decreto 13 luglio 2023</w:t>
        </w:r>
      </w:hyperlink>
      <w:r w:rsidRPr="001F5636">
        <w:rPr>
          <w:rFonts w:eastAsia="Times New Roman" w:cstheme="minorHAnsi"/>
          <w:color w:val="19191A"/>
          <w:sz w:val="20"/>
          <w:szCs w:val="20"/>
          <w:lang w:eastAsia="it-IT"/>
        </w:rPr>
        <w:t> sono state rese disponibili risorse pari a 300 milioni di euro, a valere sull’</w:t>
      </w:r>
      <w:r w:rsidRPr="001F5636">
        <w:rPr>
          <w:rFonts w:eastAsia="Times New Roman" w:cstheme="minorHAnsi"/>
          <w:b/>
          <w:bCs/>
          <w:color w:val="19191A"/>
          <w:sz w:val="20"/>
          <w:szCs w:val="20"/>
          <w:lang w:eastAsia="it-IT"/>
        </w:rPr>
        <w:t>Azione 1.1.4. </w:t>
      </w:r>
      <w:proofErr w:type="gramStart"/>
      <w:r w:rsidRPr="001F5636">
        <w:rPr>
          <w:rFonts w:eastAsia="Times New Roman" w:cstheme="minorHAnsi"/>
          <w:color w:val="19191A"/>
          <w:sz w:val="20"/>
          <w:szCs w:val="20"/>
          <w:lang w:eastAsia="it-IT"/>
        </w:rPr>
        <w:t>del</w:t>
      </w:r>
      <w:proofErr w:type="gramEnd"/>
      <w:r w:rsidRPr="001F5636">
        <w:rPr>
          <w:rFonts w:eastAsia="Times New Roman" w:cstheme="minorHAnsi"/>
          <w:color w:val="19191A"/>
          <w:sz w:val="20"/>
          <w:szCs w:val="20"/>
          <w:lang w:eastAsia="it-IT"/>
        </w:rPr>
        <w:t> </w:t>
      </w:r>
      <w:r w:rsidRPr="001F5636">
        <w:rPr>
          <w:rFonts w:eastAsia="Times New Roman" w:cstheme="minorHAnsi"/>
          <w:b/>
          <w:bCs/>
          <w:color w:val="19191A"/>
          <w:sz w:val="20"/>
          <w:szCs w:val="20"/>
          <w:lang w:eastAsia="it-IT"/>
        </w:rPr>
        <w:t>Programma Nazionale Ricerca, Innovazione e Competitività per la transizione verde e digitale 2021-2027</w:t>
      </w:r>
      <w:r w:rsidRPr="001F5636">
        <w:rPr>
          <w:rFonts w:eastAsia="Times New Roman" w:cstheme="minorHAnsi"/>
          <w:color w:val="19191A"/>
          <w:sz w:val="20"/>
          <w:szCs w:val="20"/>
          <w:lang w:eastAsia="it-IT"/>
        </w:rPr>
        <w:t>.</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Una quota pari al 60 per cento delle predette risorse è riservata ai progetti proposti da PMI e da reti di imprese. Ai fini dell’accesso a tale riserva, i soggetti che propongono un progetto di ricerca e sviluppo in forma congiunta devono appartenere tutti alla categoria delle PMI, ad eccezione degli Organismi di ricerca, o devono realizzare il progetto mediante il ricorso allo strumento del contratto di rete.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Nell’ambito della riserva in questione, una sotto riserva pari al 25 per cento della stessa è destinata alle micro e piccole imprese.</w:t>
      </w:r>
    </w:p>
    <w:p w:rsidR="00E504BB" w:rsidRPr="001F5636" w:rsidRDefault="00E504BB" w:rsidP="00E504BB">
      <w:pPr>
        <w:shd w:val="clear" w:color="auto" w:fill="FFFFFF"/>
        <w:spacing w:after="100" w:afterAutospacing="1" w:line="240" w:lineRule="auto"/>
        <w:rPr>
          <w:rFonts w:eastAsia="Times New Roman" w:cstheme="minorHAnsi"/>
          <w:b/>
          <w:bCs/>
          <w:color w:val="19191A"/>
          <w:sz w:val="20"/>
          <w:szCs w:val="20"/>
          <w:lang w:eastAsia="it-IT"/>
        </w:rPr>
      </w:pPr>
      <w:r w:rsidRPr="001F5636">
        <w:rPr>
          <w:rFonts w:eastAsia="Times New Roman" w:cstheme="minorHAnsi"/>
          <w:b/>
          <w:bCs/>
          <w:color w:val="19191A"/>
          <w:sz w:val="20"/>
          <w:szCs w:val="20"/>
          <w:lang w:eastAsia="it-IT"/>
        </w:rPr>
        <w:t> A chi si rivolge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Possono beneficiare delle agevolazioni le imprese di qualsiasi dimensione con almeno due bilanci approvati al momento della presentazione della domanda di agevolazioni, che esercitano attività industriali, agroindustriali, artigiane, di servizi all’industria (attività di cui all’art. 2195 del codice civile, numeri 1, 3 e 5), e i Centri di ricerca. Gli Organismi di ricerca possono essere co-proponenti di un progetto congiunto con i citati soggetti.</w:t>
      </w:r>
    </w:p>
    <w:p w:rsidR="00E504BB" w:rsidRPr="001F5636" w:rsidRDefault="00E504BB" w:rsidP="00E504BB">
      <w:pPr>
        <w:shd w:val="clear" w:color="auto" w:fill="FFFFFF"/>
        <w:spacing w:after="100" w:afterAutospacing="1" w:line="240" w:lineRule="auto"/>
        <w:rPr>
          <w:rFonts w:eastAsia="Times New Roman" w:cstheme="minorHAnsi"/>
          <w:b/>
          <w:bCs/>
          <w:color w:val="19191A"/>
          <w:sz w:val="20"/>
          <w:szCs w:val="20"/>
          <w:lang w:eastAsia="it-IT"/>
        </w:rPr>
      </w:pPr>
      <w:r w:rsidRPr="001F5636">
        <w:rPr>
          <w:rFonts w:eastAsia="Times New Roman" w:cstheme="minorHAnsi"/>
          <w:color w:val="19191A"/>
          <w:sz w:val="20"/>
          <w:szCs w:val="20"/>
          <w:lang w:eastAsia="it-IT"/>
        </w:rPr>
        <w:t> </w:t>
      </w:r>
      <w:r w:rsidRPr="001F5636">
        <w:rPr>
          <w:rFonts w:eastAsia="Times New Roman" w:cstheme="minorHAnsi"/>
          <w:b/>
          <w:bCs/>
          <w:color w:val="19191A"/>
          <w:sz w:val="20"/>
          <w:szCs w:val="20"/>
          <w:lang w:eastAsia="it-IT"/>
        </w:rPr>
        <w:t>Cosa finanzia</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Progetti riguardanti attività di </w:t>
      </w:r>
      <w:r w:rsidRPr="001F5636">
        <w:rPr>
          <w:rFonts w:eastAsia="Times New Roman" w:cstheme="minorHAnsi"/>
          <w:b/>
          <w:bCs/>
          <w:color w:val="19191A"/>
          <w:sz w:val="20"/>
          <w:szCs w:val="20"/>
          <w:lang w:eastAsia="it-IT"/>
        </w:rPr>
        <w:t>ricerca industriale</w:t>
      </w:r>
      <w:r w:rsidRPr="001F5636">
        <w:rPr>
          <w:rFonts w:eastAsia="Times New Roman" w:cstheme="minorHAnsi"/>
          <w:color w:val="19191A"/>
          <w:sz w:val="20"/>
          <w:szCs w:val="20"/>
          <w:lang w:eastAsia="it-IT"/>
        </w:rPr>
        <w:t> e di </w:t>
      </w:r>
      <w:r w:rsidRPr="001F5636">
        <w:rPr>
          <w:rFonts w:eastAsia="Times New Roman" w:cstheme="minorHAnsi"/>
          <w:b/>
          <w:bCs/>
          <w:color w:val="19191A"/>
          <w:sz w:val="20"/>
          <w:szCs w:val="20"/>
          <w:lang w:eastAsia="it-IT"/>
        </w:rPr>
        <w:t>sviluppo sperimentale</w:t>
      </w:r>
      <w:r w:rsidRPr="001F5636">
        <w:rPr>
          <w:rFonts w:eastAsia="Times New Roman" w:cstheme="minorHAnsi"/>
          <w:color w:val="19191A"/>
          <w:sz w:val="20"/>
          <w:szCs w:val="20"/>
          <w:lang w:eastAsia="it-IT"/>
        </w:rPr>
        <w:t> finalizzate alla realizzazione di nuovi prodotti, processi o servizi o al notevole miglioramento di prodotti, processi o servizi esistenti, tramite lo sviluppo delle </w:t>
      </w:r>
      <w:r w:rsidRPr="001F5636">
        <w:rPr>
          <w:rFonts w:eastAsia="Times New Roman" w:cstheme="minorHAnsi"/>
          <w:b/>
          <w:bCs/>
          <w:color w:val="19191A"/>
          <w:sz w:val="20"/>
          <w:szCs w:val="20"/>
          <w:lang w:eastAsia="it-IT"/>
        </w:rPr>
        <w:t>tecnologie abilitanti fondamentali (</w:t>
      </w:r>
      <w:proofErr w:type="spellStart"/>
      <w:r w:rsidRPr="001F5636">
        <w:rPr>
          <w:rFonts w:eastAsia="Times New Roman" w:cstheme="minorHAnsi"/>
          <w:b/>
          <w:bCs/>
          <w:color w:val="19191A"/>
          <w:sz w:val="20"/>
          <w:szCs w:val="20"/>
          <w:lang w:eastAsia="it-IT"/>
        </w:rPr>
        <w:t>KETs</w:t>
      </w:r>
      <w:proofErr w:type="spellEnd"/>
      <w:r w:rsidRPr="001F5636">
        <w:rPr>
          <w:rFonts w:eastAsia="Times New Roman" w:cstheme="minorHAnsi"/>
          <w:b/>
          <w:bCs/>
          <w:color w:val="19191A"/>
          <w:sz w:val="20"/>
          <w:szCs w:val="20"/>
          <w:lang w:eastAsia="it-IT"/>
        </w:rPr>
        <w:t>)</w:t>
      </w:r>
      <w:r w:rsidRPr="001F5636">
        <w:rPr>
          <w:rFonts w:eastAsia="Times New Roman" w:cstheme="minorHAnsi"/>
          <w:color w:val="19191A"/>
          <w:sz w:val="20"/>
          <w:szCs w:val="20"/>
          <w:lang w:eastAsia="it-IT"/>
        </w:rPr>
        <w:t> nell’ambito delle aree tematiche e delle traiettorie di sviluppo definite dalla </w:t>
      </w:r>
      <w:r w:rsidRPr="001F5636">
        <w:rPr>
          <w:rFonts w:eastAsia="Times New Roman" w:cstheme="minorHAnsi"/>
          <w:b/>
          <w:bCs/>
          <w:color w:val="19191A"/>
          <w:sz w:val="20"/>
          <w:szCs w:val="20"/>
          <w:lang w:eastAsia="it-IT"/>
        </w:rPr>
        <w:t>Strategia nazionale di specializzazione intelligente</w:t>
      </w:r>
      <w:r w:rsidRPr="001F5636">
        <w:rPr>
          <w:rFonts w:eastAsia="Times New Roman" w:cstheme="minorHAnsi"/>
          <w:color w:val="19191A"/>
          <w:sz w:val="20"/>
          <w:szCs w:val="20"/>
          <w:lang w:eastAsia="it-IT"/>
        </w:rPr>
        <w:t> ovvero nell’ambito di altre aree tematiche e traiettorie di sviluppo non rientranti nella predetta Strategia, al fine di contribuire ad alimentare il processo di </w:t>
      </w:r>
      <w:r w:rsidRPr="001F5636">
        <w:rPr>
          <w:rFonts w:eastAsia="Times New Roman" w:cstheme="minorHAnsi"/>
          <w:b/>
          <w:bCs/>
          <w:color w:val="19191A"/>
          <w:sz w:val="20"/>
          <w:szCs w:val="20"/>
          <w:lang w:eastAsia="it-IT"/>
        </w:rPr>
        <w:t>scoperta imprenditoriale</w:t>
      </w:r>
      <w:r w:rsidRPr="001F5636">
        <w:rPr>
          <w:rFonts w:eastAsia="Times New Roman" w:cstheme="minorHAnsi"/>
          <w:color w:val="19191A"/>
          <w:sz w:val="20"/>
          <w:szCs w:val="20"/>
          <w:lang w:eastAsia="it-IT"/>
        </w:rPr>
        <w:t> e il conseguente adattamento evolutivo della stessa.</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I progetti devono essere realizzati nei territori delle </w:t>
      </w:r>
      <w:r w:rsidRPr="001F5636">
        <w:rPr>
          <w:rFonts w:eastAsia="Times New Roman" w:cstheme="minorHAnsi"/>
          <w:b/>
          <w:bCs/>
          <w:color w:val="19191A"/>
          <w:sz w:val="20"/>
          <w:szCs w:val="20"/>
          <w:lang w:eastAsia="it-IT"/>
        </w:rPr>
        <w:t>regioni meno sviluppate</w:t>
      </w:r>
      <w:r w:rsidRPr="001F5636">
        <w:rPr>
          <w:rFonts w:eastAsia="Times New Roman" w:cstheme="minorHAnsi"/>
          <w:color w:val="19191A"/>
          <w:sz w:val="20"/>
          <w:szCs w:val="20"/>
          <w:lang w:eastAsia="it-IT"/>
        </w:rPr>
        <w:t>, prevedere spese e costi ammissibili non inferiori a </w:t>
      </w:r>
      <w:r w:rsidRPr="001F5636">
        <w:rPr>
          <w:rFonts w:eastAsia="Times New Roman" w:cstheme="minorHAnsi"/>
          <w:b/>
          <w:bCs/>
          <w:color w:val="19191A"/>
          <w:sz w:val="20"/>
          <w:szCs w:val="20"/>
          <w:lang w:eastAsia="it-IT"/>
        </w:rPr>
        <w:t>1 milione di euro</w:t>
      </w:r>
      <w:r w:rsidRPr="001F5636">
        <w:rPr>
          <w:rFonts w:eastAsia="Times New Roman" w:cstheme="minorHAnsi"/>
          <w:color w:val="19191A"/>
          <w:sz w:val="20"/>
          <w:szCs w:val="20"/>
          <w:lang w:eastAsia="it-IT"/>
        </w:rPr>
        <w:t> e non superiore a </w:t>
      </w:r>
      <w:r w:rsidRPr="001F5636">
        <w:rPr>
          <w:rFonts w:eastAsia="Times New Roman" w:cstheme="minorHAnsi"/>
          <w:b/>
          <w:bCs/>
          <w:color w:val="19191A"/>
          <w:sz w:val="20"/>
          <w:szCs w:val="20"/>
          <w:lang w:eastAsia="it-IT"/>
        </w:rPr>
        <w:t>5 milioni di euro</w:t>
      </w:r>
      <w:r w:rsidRPr="001F5636">
        <w:rPr>
          <w:rFonts w:eastAsia="Times New Roman" w:cstheme="minorHAnsi"/>
          <w:color w:val="19191A"/>
          <w:sz w:val="20"/>
          <w:szCs w:val="20"/>
          <w:lang w:eastAsia="it-IT"/>
        </w:rPr>
        <w:t> ed avere una durata non inferiore a 18 mesi e non superiore a 36 mesi. L’avvio delle attività progettuali deve avvenire successivamente alla data di presentazione della domanda di agevolazione e comunque entro 3 mesi dalla concessione delle stesse.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I progetti di ricerca e sviluppo devono essere realizzati in </w:t>
      </w:r>
      <w:r w:rsidRPr="001F5636">
        <w:rPr>
          <w:rFonts w:eastAsia="Times New Roman" w:cstheme="minorHAnsi"/>
          <w:b/>
          <w:bCs/>
          <w:color w:val="19191A"/>
          <w:sz w:val="20"/>
          <w:szCs w:val="20"/>
          <w:lang w:eastAsia="it-IT"/>
        </w:rPr>
        <w:t>forma collaborativa</w:t>
      </w:r>
      <w:r w:rsidRPr="001F5636">
        <w:rPr>
          <w:rFonts w:eastAsia="Times New Roman" w:cstheme="minorHAnsi"/>
          <w:color w:val="19191A"/>
          <w:sz w:val="20"/>
          <w:szCs w:val="20"/>
          <w:lang w:eastAsia="it-IT"/>
        </w:rPr>
        <w:t>, secondo in alternativa una delle seguenti modalità:</w:t>
      </w:r>
    </w:p>
    <w:p w:rsidR="00E504BB" w:rsidRPr="001F5636" w:rsidRDefault="00E504BB" w:rsidP="00E504BB">
      <w:pPr>
        <w:numPr>
          <w:ilvl w:val="0"/>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progetto</w:t>
      </w:r>
      <w:proofErr w:type="gramEnd"/>
      <w:r w:rsidRPr="001F5636">
        <w:rPr>
          <w:rFonts w:eastAsia="Times New Roman" w:cstheme="minorHAnsi"/>
          <w:color w:val="19191A"/>
          <w:sz w:val="20"/>
          <w:szCs w:val="20"/>
          <w:lang w:eastAsia="it-IT"/>
        </w:rPr>
        <w:t xml:space="preserve"> realizzato congiuntamente, che preveda:</w:t>
      </w:r>
    </w:p>
    <w:p w:rsidR="00E504BB" w:rsidRPr="001F5636" w:rsidRDefault="00E504BB" w:rsidP="00E504BB">
      <w:pPr>
        <w:numPr>
          <w:ilvl w:val="1"/>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un</w:t>
      </w:r>
      <w:proofErr w:type="gramEnd"/>
      <w:r w:rsidRPr="001F5636">
        <w:rPr>
          <w:rFonts w:eastAsia="Times New Roman" w:cstheme="minorHAnsi"/>
          <w:color w:val="19191A"/>
          <w:sz w:val="20"/>
          <w:szCs w:val="20"/>
          <w:lang w:eastAsia="it-IT"/>
        </w:rPr>
        <w:t xml:space="preserve"> massimo di tre soggetti proponenti, ivi compresa l’impresa capofila;</w:t>
      </w:r>
    </w:p>
    <w:p w:rsidR="00E504BB" w:rsidRPr="001F5636" w:rsidRDefault="00E504BB" w:rsidP="00E504BB">
      <w:pPr>
        <w:numPr>
          <w:ilvl w:val="1"/>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almeno</w:t>
      </w:r>
      <w:proofErr w:type="gramEnd"/>
      <w:r w:rsidRPr="001F5636">
        <w:rPr>
          <w:rFonts w:eastAsia="Times New Roman" w:cstheme="minorHAnsi"/>
          <w:color w:val="19191A"/>
          <w:sz w:val="20"/>
          <w:szCs w:val="20"/>
          <w:lang w:eastAsia="it-IT"/>
        </w:rPr>
        <w:t xml:space="preserve"> una micro, piccola o media impresa tra i soggetti proponenti;</w:t>
      </w:r>
    </w:p>
    <w:p w:rsidR="00E504BB" w:rsidRPr="001F5636" w:rsidRDefault="00E504BB" w:rsidP="00E504BB">
      <w:pPr>
        <w:numPr>
          <w:ilvl w:val="1"/>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che</w:t>
      </w:r>
      <w:proofErr w:type="gramEnd"/>
      <w:r w:rsidRPr="001F5636">
        <w:rPr>
          <w:rFonts w:eastAsia="Times New Roman" w:cstheme="minorHAnsi"/>
          <w:color w:val="19191A"/>
          <w:sz w:val="20"/>
          <w:szCs w:val="20"/>
          <w:lang w:eastAsia="it-IT"/>
        </w:rPr>
        <w:t xml:space="preserve"> ciascuno dei soggetti proponenti sostenga almeno il 10 per cento dei costi ammissibili;</w:t>
      </w:r>
    </w:p>
    <w:p w:rsidR="00E504BB" w:rsidRPr="001F5636" w:rsidRDefault="00E504BB" w:rsidP="00E504BB">
      <w:pPr>
        <w:numPr>
          <w:ilvl w:val="1"/>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il</w:t>
      </w:r>
      <w:proofErr w:type="gramEnd"/>
      <w:r w:rsidRPr="001F5636">
        <w:rPr>
          <w:rFonts w:eastAsia="Times New Roman" w:cstheme="minorHAnsi"/>
          <w:color w:val="19191A"/>
          <w:sz w:val="20"/>
          <w:szCs w:val="20"/>
          <w:lang w:eastAsia="it-IT"/>
        </w:rPr>
        <w:t xml:space="preserve"> ricorso allo strumento del contratto di rete o ad altre forme contrattuali di collaborazione.</w:t>
      </w:r>
    </w:p>
    <w:p w:rsidR="00E504BB" w:rsidRPr="001F5636" w:rsidRDefault="00E504BB" w:rsidP="00E504BB">
      <w:pPr>
        <w:numPr>
          <w:ilvl w:val="0"/>
          <w:numId w:val="1"/>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progetto</w:t>
      </w:r>
      <w:proofErr w:type="gramEnd"/>
      <w:r w:rsidRPr="001F5636">
        <w:rPr>
          <w:rFonts w:eastAsia="Times New Roman" w:cstheme="minorHAnsi"/>
          <w:color w:val="19191A"/>
          <w:sz w:val="20"/>
          <w:szCs w:val="20"/>
          <w:lang w:eastAsia="it-IT"/>
        </w:rPr>
        <w:t xml:space="preserve"> realizzato da una micro, piccola o media impresa ovvero da una piccola impresa a media capitalizzazione, che preveda la partecipazione di uno o più soggetti esterni all’impresa, indipendenti dalla stessa, che concorrano alle attività del progetto attraverso servizi di ricerca, prestazioni di consulenza alla ricerca e sviluppo e/o ricerca contrattuale, il cui valore sia almeno pari al 10 per cento dei costi complessivi ammissibili del progetto.</w:t>
      </w:r>
    </w:p>
    <w:p w:rsidR="00E504BB" w:rsidRPr="001F5636" w:rsidRDefault="00E504BB" w:rsidP="00E504BB">
      <w:pPr>
        <w:shd w:val="clear" w:color="auto" w:fill="FFFFFF"/>
        <w:spacing w:after="100" w:afterAutospacing="1" w:line="240" w:lineRule="auto"/>
        <w:rPr>
          <w:rFonts w:eastAsia="Times New Roman" w:cstheme="minorHAnsi"/>
          <w:b/>
          <w:bCs/>
          <w:color w:val="19191A"/>
          <w:sz w:val="20"/>
          <w:szCs w:val="20"/>
          <w:lang w:eastAsia="it-IT"/>
        </w:rPr>
      </w:pPr>
      <w:r w:rsidRPr="001F5636">
        <w:rPr>
          <w:rFonts w:eastAsia="Times New Roman" w:cstheme="minorHAnsi"/>
          <w:color w:val="19191A"/>
          <w:sz w:val="20"/>
          <w:szCs w:val="20"/>
          <w:lang w:eastAsia="it-IT"/>
        </w:rPr>
        <w:lastRenderedPageBreak/>
        <w:t> </w:t>
      </w:r>
      <w:r w:rsidRPr="001F5636">
        <w:rPr>
          <w:rFonts w:eastAsia="Times New Roman" w:cstheme="minorHAnsi"/>
          <w:b/>
          <w:bCs/>
          <w:color w:val="19191A"/>
          <w:sz w:val="20"/>
          <w:szCs w:val="20"/>
          <w:lang w:eastAsia="it-IT"/>
        </w:rPr>
        <w:t>Le agevolazioni</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Le agevolazioni sono concesse, nei limiti delle intensità massime di aiuto e delle soglie di notifica individuali stabilite, rispettivamente, dall’articolo 25 e dall’articolo 4 del regolamento GBER, nelle seguenti forme in concorso tra loro:</w:t>
      </w:r>
    </w:p>
    <w:p w:rsidR="00E504BB" w:rsidRPr="001F5636" w:rsidRDefault="00E504BB" w:rsidP="00E504BB">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nella</w:t>
      </w:r>
      <w:proofErr w:type="gramEnd"/>
      <w:r w:rsidRPr="001F5636">
        <w:rPr>
          <w:rFonts w:eastAsia="Times New Roman" w:cstheme="minorHAnsi"/>
          <w:color w:val="19191A"/>
          <w:sz w:val="20"/>
          <w:szCs w:val="20"/>
          <w:lang w:eastAsia="it-IT"/>
        </w:rPr>
        <w:t xml:space="preserve"> forma del </w:t>
      </w:r>
      <w:r w:rsidRPr="001F5636">
        <w:rPr>
          <w:rFonts w:eastAsia="Times New Roman" w:cstheme="minorHAnsi"/>
          <w:b/>
          <w:bCs/>
          <w:color w:val="19191A"/>
          <w:sz w:val="20"/>
          <w:szCs w:val="20"/>
          <w:lang w:eastAsia="it-IT"/>
        </w:rPr>
        <w:t>finanziamento agevolato</w:t>
      </w:r>
      <w:r w:rsidRPr="001F5636">
        <w:rPr>
          <w:rFonts w:eastAsia="Times New Roman" w:cstheme="minorHAnsi"/>
          <w:color w:val="19191A"/>
          <w:sz w:val="20"/>
          <w:szCs w:val="20"/>
          <w:lang w:eastAsia="it-IT"/>
        </w:rPr>
        <w:t>, per una percentuale nominale pari al 50 per cento dei costi e delle spese ammissibili;</w:t>
      </w:r>
    </w:p>
    <w:p w:rsidR="00E504BB" w:rsidRPr="001F5636" w:rsidRDefault="00E504BB" w:rsidP="00E504BB">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proofErr w:type="gramStart"/>
      <w:r w:rsidRPr="001F5636">
        <w:rPr>
          <w:rFonts w:eastAsia="Times New Roman" w:cstheme="minorHAnsi"/>
          <w:color w:val="19191A"/>
          <w:sz w:val="20"/>
          <w:szCs w:val="20"/>
          <w:lang w:eastAsia="it-IT"/>
        </w:rPr>
        <w:t>nella</w:t>
      </w:r>
      <w:proofErr w:type="gramEnd"/>
      <w:r w:rsidRPr="001F5636">
        <w:rPr>
          <w:rFonts w:eastAsia="Times New Roman" w:cstheme="minorHAnsi"/>
          <w:color w:val="19191A"/>
          <w:sz w:val="20"/>
          <w:szCs w:val="20"/>
          <w:lang w:eastAsia="it-IT"/>
        </w:rPr>
        <w:t xml:space="preserve"> forma del </w:t>
      </w:r>
      <w:r w:rsidRPr="001F5636">
        <w:rPr>
          <w:rFonts w:eastAsia="Times New Roman" w:cstheme="minorHAnsi"/>
          <w:b/>
          <w:bCs/>
          <w:color w:val="19191A"/>
          <w:sz w:val="20"/>
          <w:szCs w:val="20"/>
          <w:lang w:eastAsia="it-IT"/>
        </w:rPr>
        <w:t>contributo diretto alla spesa</w:t>
      </w:r>
      <w:r w:rsidRPr="001F5636">
        <w:rPr>
          <w:rFonts w:eastAsia="Times New Roman" w:cstheme="minorHAnsi"/>
          <w:color w:val="19191A"/>
          <w:sz w:val="20"/>
          <w:szCs w:val="20"/>
          <w:lang w:eastAsia="it-IT"/>
        </w:rPr>
        <w:t>, per una percentuale nominale dei costi e delle spese ammissibili articolata come segue:</w:t>
      </w:r>
    </w:p>
    <w:p w:rsidR="00E504BB" w:rsidRPr="001F5636" w:rsidRDefault="00E504BB" w:rsidP="00E504BB">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35 per cento per le imprese di piccola dimensione;</w:t>
      </w:r>
    </w:p>
    <w:p w:rsidR="00E504BB" w:rsidRPr="001F5636" w:rsidRDefault="00E504BB" w:rsidP="00E504BB">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30 per cento per le imprese di media dimensione;</w:t>
      </w:r>
    </w:p>
    <w:p w:rsidR="00E504BB" w:rsidRPr="001F5636" w:rsidRDefault="00E504BB" w:rsidP="00E504BB">
      <w:pPr>
        <w:numPr>
          <w:ilvl w:val="0"/>
          <w:numId w:val="2"/>
        </w:numPr>
        <w:shd w:val="clear" w:color="auto" w:fill="FFFFFF"/>
        <w:spacing w:before="100" w:beforeAutospacing="1"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25 per cento per le imprese di grande dimensione.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Per gli </w:t>
      </w:r>
      <w:r w:rsidRPr="001F5636">
        <w:rPr>
          <w:rFonts w:eastAsia="Times New Roman" w:cstheme="minorHAnsi"/>
          <w:b/>
          <w:bCs/>
          <w:color w:val="19191A"/>
          <w:sz w:val="20"/>
          <w:szCs w:val="20"/>
          <w:lang w:eastAsia="it-IT"/>
        </w:rPr>
        <w:t>Organismi di ricerca</w:t>
      </w:r>
      <w:r w:rsidRPr="001F5636">
        <w:rPr>
          <w:rFonts w:eastAsia="Times New Roman" w:cstheme="minorHAnsi"/>
          <w:color w:val="19191A"/>
          <w:sz w:val="20"/>
          <w:szCs w:val="20"/>
          <w:lang w:eastAsia="it-IT"/>
        </w:rPr>
        <w:t>, le agevolazioni sono concesse esclusivamente nella forma di </w:t>
      </w:r>
      <w:r w:rsidRPr="001F5636">
        <w:rPr>
          <w:rFonts w:eastAsia="Times New Roman" w:cstheme="minorHAnsi"/>
          <w:b/>
          <w:bCs/>
          <w:color w:val="19191A"/>
          <w:sz w:val="20"/>
          <w:szCs w:val="20"/>
          <w:lang w:eastAsia="it-IT"/>
        </w:rPr>
        <w:t>contributo diretto alla spesa</w:t>
      </w:r>
      <w:r w:rsidRPr="001F5636">
        <w:rPr>
          <w:rFonts w:eastAsia="Times New Roman" w:cstheme="minorHAnsi"/>
          <w:color w:val="19191A"/>
          <w:sz w:val="20"/>
          <w:szCs w:val="20"/>
          <w:lang w:eastAsia="it-IT"/>
        </w:rPr>
        <w:t>, per una percentuale nominale pari al 60 per cento dei costi e delle spese ammissibili per attività di ricerca industriale e pari al 40 per cento dei costi e delle spese ammissibili di sviluppo sperimentale.</w:t>
      </w:r>
    </w:p>
    <w:p w:rsidR="00E504BB" w:rsidRPr="001F5636" w:rsidRDefault="00E504BB" w:rsidP="00E504BB">
      <w:pPr>
        <w:shd w:val="clear" w:color="auto" w:fill="FFFFFF"/>
        <w:spacing w:after="100" w:afterAutospacing="1" w:line="240" w:lineRule="auto"/>
        <w:rPr>
          <w:rFonts w:eastAsia="Times New Roman" w:cstheme="minorHAnsi"/>
          <w:b/>
          <w:bCs/>
          <w:color w:val="19191A"/>
          <w:sz w:val="20"/>
          <w:szCs w:val="20"/>
          <w:lang w:eastAsia="it-IT"/>
        </w:rPr>
      </w:pPr>
      <w:r w:rsidRPr="001F5636">
        <w:rPr>
          <w:rFonts w:eastAsia="Times New Roman" w:cstheme="minorHAnsi"/>
          <w:color w:val="19191A"/>
          <w:sz w:val="20"/>
          <w:szCs w:val="20"/>
          <w:lang w:eastAsia="it-IT"/>
        </w:rPr>
        <w:t> </w:t>
      </w:r>
      <w:r w:rsidRPr="001F5636">
        <w:rPr>
          <w:rFonts w:eastAsia="Times New Roman" w:cstheme="minorHAnsi"/>
          <w:b/>
          <w:bCs/>
          <w:color w:val="19191A"/>
          <w:sz w:val="20"/>
          <w:szCs w:val="20"/>
          <w:lang w:eastAsia="it-IT"/>
        </w:rPr>
        <w:t>Modalità e termini per la presentazione delle domande di agevolazione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Con </w:t>
      </w:r>
      <w:hyperlink r:id="rId6" w:history="1">
        <w:r w:rsidRPr="001F5636">
          <w:rPr>
            <w:rFonts w:eastAsia="Times New Roman" w:cstheme="minorHAnsi"/>
            <w:color w:val="0066CC"/>
            <w:sz w:val="20"/>
            <w:szCs w:val="20"/>
            <w:u w:val="single"/>
            <w:lang w:eastAsia="it-IT"/>
          </w:rPr>
          <w:t>decreto direttoriale 7 dicembre 2023</w:t>
        </w:r>
      </w:hyperlink>
      <w:r w:rsidRPr="001F5636">
        <w:rPr>
          <w:rFonts w:eastAsia="Times New Roman" w:cstheme="minorHAnsi"/>
          <w:color w:val="19191A"/>
          <w:sz w:val="20"/>
          <w:szCs w:val="20"/>
          <w:lang w:eastAsia="it-IT"/>
        </w:rPr>
        <w:t> sono stati stabiliti i termini e le modalità per la presentazione delle domande di agevolazione.</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Dalle ore 10.00 del giorno </w:t>
      </w:r>
      <w:r w:rsidRPr="001F5636">
        <w:rPr>
          <w:rFonts w:eastAsia="Times New Roman" w:cstheme="minorHAnsi"/>
          <w:b/>
          <w:bCs/>
          <w:color w:val="19191A"/>
          <w:sz w:val="20"/>
          <w:szCs w:val="20"/>
          <w:lang w:eastAsia="it-IT"/>
        </w:rPr>
        <w:t>7 febbraio 2024</w:t>
      </w:r>
      <w:r w:rsidRPr="001F5636">
        <w:rPr>
          <w:rFonts w:eastAsia="Times New Roman" w:cstheme="minorHAnsi"/>
          <w:color w:val="19191A"/>
          <w:sz w:val="20"/>
          <w:szCs w:val="20"/>
          <w:lang w:eastAsia="it-IT"/>
        </w:rPr>
        <w:t> le imprese possono presentare, anche in forma congiunta, le domande di agevolazione per progetti riguardanti attività di ricerca industriale e di sviluppo sperimentale d’importo compreso tra 1 e 5 milioni di euro.</w:t>
      </w:r>
    </w:p>
    <w:p w:rsidR="00E504BB" w:rsidRPr="001F5636" w:rsidRDefault="00E504BB" w:rsidP="00E504BB">
      <w:pPr>
        <w:shd w:val="clear" w:color="auto" w:fill="FFFFFF"/>
        <w:spacing w:after="100" w:afterAutospacing="1" w:line="240" w:lineRule="auto"/>
        <w:rPr>
          <w:rFonts w:eastAsia="Times New Roman" w:cstheme="minorHAnsi"/>
          <w:color w:val="19191A"/>
          <w:sz w:val="20"/>
          <w:szCs w:val="20"/>
          <w:lang w:eastAsia="it-IT"/>
        </w:rPr>
      </w:pPr>
      <w:r w:rsidRPr="001F5636">
        <w:rPr>
          <w:rFonts w:eastAsia="Times New Roman" w:cstheme="minorHAnsi"/>
          <w:color w:val="19191A"/>
          <w:sz w:val="20"/>
          <w:szCs w:val="20"/>
          <w:lang w:eastAsia="it-IT"/>
        </w:rPr>
        <w:t>La procedura di compilazione della domanda di agevolazione e della ulteriore documentazione allegata è resa disponibile nel sito internet del Soggetto gestore a partire dal </w:t>
      </w:r>
      <w:r w:rsidRPr="001F5636">
        <w:rPr>
          <w:rFonts w:eastAsia="Times New Roman" w:cstheme="minorHAnsi"/>
          <w:b/>
          <w:bCs/>
          <w:color w:val="19191A"/>
          <w:sz w:val="20"/>
          <w:szCs w:val="20"/>
          <w:lang w:eastAsia="it-IT"/>
        </w:rPr>
        <w:t>24 gennaio 2024</w:t>
      </w:r>
      <w:r w:rsidRPr="001F5636">
        <w:rPr>
          <w:rFonts w:eastAsia="Times New Roman" w:cstheme="minorHAnsi"/>
          <w:color w:val="19191A"/>
          <w:sz w:val="20"/>
          <w:szCs w:val="20"/>
          <w:lang w:eastAsia="it-IT"/>
        </w:rPr>
        <w:t>.</w:t>
      </w:r>
    </w:p>
    <w:p w:rsidR="00E504BB" w:rsidRPr="001F5636" w:rsidRDefault="00E504BB" w:rsidP="00E504BB">
      <w:pPr>
        <w:numPr>
          <w:ilvl w:val="0"/>
          <w:numId w:val="3"/>
        </w:numPr>
        <w:shd w:val="clear" w:color="auto" w:fill="FFFFFF"/>
        <w:spacing w:before="100" w:beforeAutospacing="1" w:after="100" w:afterAutospacing="1" w:line="240" w:lineRule="auto"/>
        <w:rPr>
          <w:rFonts w:eastAsia="Times New Roman" w:cstheme="minorHAnsi"/>
          <w:color w:val="19191A"/>
          <w:sz w:val="20"/>
          <w:szCs w:val="20"/>
          <w:lang w:eastAsia="it-IT"/>
        </w:rPr>
      </w:pPr>
      <w:hyperlink r:id="rId7" w:history="1">
        <w:r w:rsidRPr="001F5636">
          <w:rPr>
            <w:rFonts w:eastAsia="Times New Roman" w:cstheme="minorHAnsi"/>
            <w:color w:val="0066CC"/>
            <w:sz w:val="20"/>
            <w:szCs w:val="20"/>
            <w:u w:val="single"/>
            <w:lang w:eastAsia="it-IT"/>
          </w:rPr>
          <w:t>Decreto direttoriale 7 dicembre 2023 e allegati</w:t>
        </w:r>
      </w:hyperlink>
    </w:p>
    <w:p w:rsidR="00E67103" w:rsidRDefault="00E67103"/>
    <w:sectPr w:rsidR="00E671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C3F0A"/>
    <w:multiLevelType w:val="multilevel"/>
    <w:tmpl w:val="2B5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B848E8"/>
    <w:multiLevelType w:val="multilevel"/>
    <w:tmpl w:val="8240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0B7B9B"/>
    <w:multiLevelType w:val="multilevel"/>
    <w:tmpl w:val="70EA444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BB"/>
    <w:rsid w:val="00E504BB"/>
    <w:rsid w:val="00E67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A7EC8-996C-4F00-94A4-C288898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04BB"/>
  </w:style>
  <w:style w:type="paragraph" w:styleId="Titolo1">
    <w:name w:val="heading 1"/>
    <w:basedOn w:val="Normale"/>
    <w:next w:val="Normale"/>
    <w:link w:val="Titolo1Carattere"/>
    <w:uiPriority w:val="9"/>
    <w:qFormat/>
    <w:rsid w:val="00E50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04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mit.gov.it/it/normativa/decreti-direttoriali/decreto-direttoriale-7-dicembre-2023-scoperta-imprenditoriale-termini-e-modalita-per-la-presentazione-delle-domande-di-agevolazio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mit.gov.it/it/normativa/decreti-direttoriali/decreto-direttoriale-7-dicembre-2023-scoperta-imprenditoriale-termini-e-modalita-per-la-presentazione-delle-domande-di-agevolazioni" TargetMode="External"/><Relationship Id="rId5" Type="http://schemas.openxmlformats.org/officeDocument/2006/relationships/hyperlink" Target="https://www.mimit.gov.it/it/normativa/decreti-ministeriali/decreto-ministeriale-13-luglio-2023-scoperta-imprenditoriale-pn-ric-2021-2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Storelli</dc:creator>
  <cp:keywords/>
  <dc:description/>
  <cp:lastModifiedBy>Giuseppe Storelli</cp:lastModifiedBy>
  <cp:revision>1</cp:revision>
  <dcterms:created xsi:type="dcterms:W3CDTF">2024-01-26T10:56:00Z</dcterms:created>
  <dcterms:modified xsi:type="dcterms:W3CDTF">2024-01-26T10:56:00Z</dcterms:modified>
</cp:coreProperties>
</file>