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4D" w:rsidRDefault="0041244D" w:rsidP="0041244D">
      <w:pPr>
        <w:jc w:val="center"/>
      </w:pPr>
      <w:r>
        <w:t>Fonte MIMIT</w:t>
      </w:r>
    </w:p>
    <w:p w:rsidR="0041244D" w:rsidRDefault="0041244D" w:rsidP="0041244D">
      <w:pPr>
        <w:jc w:val="center"/>
      </w:pPr>
    </w:p>
    <w:p w:rsidR="0041244D" w:rsidRDefault="0041244D" w:rsidP="0041244D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 xml:space="preserve">Il Ministero delle Imprese e del Made in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Italy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>, a seguito della pubblicazione dell’Avviso pubblico per l’individuazione di sei nuovi </w:t>
      </w:r>
      <w:r>
        <w:rPr>
          <w:rStyle w:val="Enfasicorsivo"/>
          <w:rFonts w:ascii="Titillium Web" w:eastAsiaTheme="majorEastAsia" w:hAnsi="Titillium Web"/>
          <w:color w:val="19191A"/>
          <w:sz w:val="30"/>
          <w:szCs w:val="30"/>
        </w:rPr>
        <w:t>“Poli di innovazione digitale”</w:t>
      </w:r>
      <w:r>
        <w:rPr>
          <w:rFonts w:ascii="Titillium Web" w:hAnsi="Titillium Web"/>
          <w:color w:val="19191A"/>
          <w:sz w:val="30"/>
          <w:szCs w:val="30"/>
        </w:rPr>
        <w:t>, ha approvato la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>graduatoria</w:t>
      </w:r>
      <w:r>
        <w:rPr>
          <w:rFonts w:ascii="Titillium Web" w:hAnsi="Titillium Web"/>
          <w:color w:val="19191A"/>
          <w:sz w:val="30"/>
          <w:szCs w:val="30"/>
        </w:rPr>
        <w:t> provvisoria dei soggetti attuatori a cui saranno destina</w:t>
      </w:r>
      <w:bookmarkStart w:id="0" w:name="_GoBack"/>
      <w:bookmarkEnd w:id="0"/>
      <w:r>
        <w:rPr>
          <w:rFonts w:ascii="Titillium Web" w:hAnsi="Titillium Web"/>
          <w:color w:val="19191A"/>
          <w:sz w:val="30"/>
          <w:szCs w:val="30"/>
        </w:rPr>
        <w:t>ti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>42 milioni </w:t>
      </w:r>
      <w:r>
        <w:rPr>
          <w:rFonts w:ascii="Titillium Web" w:hAnsi="Titillium Web"/>
          <w:color w:val="19191A"/>
          <w:sz w:val="30"/>
          <w:szCs w:val="30"/>
        </w:rPr>
        <w:t xml:space="preserve">di euro per l’erogazione dei servizi di first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assessment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 xml:space="preserve"> digitale ed orientamento alle imprese.</w:t>
      </w:r>
    </w:p>
    <w:p w:rsidR="0041244D" w:rsidRDefault="0041244D" w:rsidP="0041244D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 xml:space="preserve">La commissione esaminatrice, in considerazione delle proposte progettuali pervenute, ha ammesso al finanziamento i progetti di Confindustria, Confartigianato,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Unioncamere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>, Coldiretti, Legacoop e CNA, Confcommercio a cui sarà affidato il compito di favorire la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>transizione digitale</w:t>
      </w:r>
      <w:r>
        <w:rPr>
          <w:rFonts w:ascii="Titillium Web" w:hAnsi="Titillium Web"/>
          <w:color w:val="19191A"/>
          <w:sz w:val="30"/>
          <w:szCs w:val="30"/>
        </w:rPr>
        <w:t> delle aziende.</w:t>
      </w:r>
    </w:p>
    <w:p w:rsidR="0041244D" w:rsidRDefault="0041244D" w:rsidP="0041244D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>L’iniziativa è realizzata nell’ambito dell’Investimento 2.3 “</w:t>
      </w:r>
      <w:r>
        <w:rPr>
          <w:rStyle w:val="Enfasicorsivo"/>
          <w:rFonts w:ascii="Titillium Web" w:eastAsiaTheme="majorEastAsia" w:hAnsi="Titillium Web"/>
          <w:color w:val="19191A"/>
          <w:sz w:val="30"/>
          <w:szCs w:val="30"/>
        </w:rPr>
        <w:t>Potenziamento ed estensione tematica e territoriale dei centri di trasferimento tecnologico per segmenti di industria</w:t>
      </w:r>
      <w:r>
        <w:rPr>
          <w:rFonts w:ascii="Titillium Web" w:hAnsi="Titillium Web"/>
          <w:color w:val="19191A"/>
          <w:sz w:val="30"/>
          <w:szCs w:val="30"/>
        </w:rPr>
        <w:t>” della Missione 4 “</w:t>
      </w:r>
      <w:r>
        <w:rPr>
          <w:rStyle w:val="Enfasicorsivo"/>
          <w:rFonts w:ascii="Titillium Web" w:eastAsiaTheme="majorEastAsia" w:hAnsi="Titillium Web"/>
          <w:color w:val="19191A"/>
          <w:sz w:val="30"/>
          <w:szCs w:val="30"/>
        </w:rPr>
        <w:t>Istruzione e ricerca</w:t>
      </w:r>
      <w:r>
        <w:rPr>
          <w:rFonts w:ascii="Titillium Web" w:hAnsi="Titillium Web"/>
          <w:color w:val="19191A"/>
          <w:sz w:val="30"/>
          <w:szCs w:val="30"/>
        </w:rPr>
        <w:t>”, Componente 2 “</w:t>
      </w:r>
      <w:r>
        <w:rPr>
          <w:rStyle w:val="Enfasicorsivo"/>
          <w:rFonts w:ascii="Titillium Web" w:eastAsiaTheme="majorEastAsia" w:hAnsi="Titillium Web"/>
          <w:color w:val="19191A"/>
          <w:sz w:val="30"/>
          <w:szCs w:val="30"/>
        </w:rPr>
        <w:t>Dalla ricerca all’impresa</w:t>
      </w:r>
      <w:r>
        <w:rPr>
          <w:rFonts w:ascii="Titillium Web" w:hAnsi="Titillium Web"/>
          <w:color w:val="19191A"/>
          <w:sz w:val="30"/>
          <w:szCs w:val="30"/>
        </w:rPr>
        <w:t>” del </w:t>
      </w:r>
      <w:r>
        <w:rPr>
          <w:rStyle w:val="Enfasigrassetto"/>
          <w:rFonts w:ascii="Titillium Web" w:hAnsi="Titillium Web"/>
          <w:color w:val="19191A"/>
          <w:sz w:val="30"/>
          <w:szCs w:val="30"/>
        </w:rPr>
        <w:t>PNRR</w:t>
      </w:r>
      <w:r>
        <w:rPr>
          <w:rFonts w:ascii="Titillium Web" w:hAnsi="Titillium Web"/>
          <w:color w:val="19191A"/>
          <w:sz w:val="30"/>
          <w:szCs w:val="30"/>
        </w:rPr>
        <w:t>.</w:t>
      </w:r>
    </w:p>
    <w:p w:rsidR="00A76D1F" w:rsidRDefault="0041244D"/>
    <w:sectPr w:rsidR="00A76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D"/>
    <w:rsid w:val="0041244D"/>
    <w:rsid w:val="006B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0C180-1A0A-4A74-9876-62FF9C69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4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1244D"/>
    <w:rPr>
      <w:i/>
      <w:iCs/>
    </w:rPr>
  </w:style>
  <w:style w:type="character" w:styleId="Enfasigrassetto">
    <w:name w:val="Strong"/>
    <w:basedOn w:val="Carpredefinitoparagrafo"/>
    <w:uiPriority w:val="22"/>
    <w:qFormat/>
    <w:rsid w:val="00412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Storelli</dc:creator>
  <cp:keywords/>
  <dc:description/>
  <cp:lastModifiedBy>Giuseppe Storelli</cp:lastModifiedBy>
  <cp:revision>1</cp:revision>
  <dcterms:created xsi:type="dcterms:W3CDTF">2024-02-13T10:40:00Z</dcterms:created>
  <dcterms:modified xsi:type="dcterms:W3CDTF">2024-02-13T10:43:00Z</dcterms:modified>
</cp:coreProperties>
</file>