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7C" w:rsidRDefault="009F1B7C" w:rsidP="009F1B7C">
      <w:pPr>
        <w:jc w:val="center"/>
      </w:pPr>
      <w:r>
        <w:t>Fonte MIMIT</w:t>
      </w:r>
    </w:p>
    <w:p w:rsidR="009F1B7C" w:rsidRDefault="009F1B7C" w:rsidP="009F1B7C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Il Ministero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>, in collaborazione con le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Case delle Tecnologie Emergenti</w:t>
      </w:r>
      <w:r>
        <w:rPr>
          <w:rFonts w:ascii="Titillium Web" w:hAnsi="Titillium Web"/>
          <w:color w:val="19191A"/>
          <w:sz w:val="30"/>
          <w:szCs w:val="30"/>
        </w:rPr>
        <w:t xml:space="preserve"> (CTE) e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Invitalia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>, dopo gli ottimi risultati raggiunti nel 2023, ha programmato la seconda edizione di </w:t>
      </w:r>
      <w:bookmarkStart w:id="0" w:name="_GoBack"/>
      <w:proofErr w:type="spellStart"/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Innovation</w:t>
      </w:r>
      <w:proofErr w:type="spellEnd"/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 xml:space="preserve"> </w:t>
      </w:r>
      <w:proofErr w:type="spellStart"/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Roadshow</w:t>
      </w:r>
      <w:bookmarkEnd w:id="0"/>
      <w:proofErr w:type="spellEnd"/>
      <w:r>
        <w:rPr>
          <w:rFonts w:ascii="Titillium Web" w:hAnsi="Titillium Web"/>
          <w:color w:val="19191A"/>
          <w:sz w:val="30"/>
          <w:szCs w:val="30"/>
        </w:rPr>
        <w:t>, il tour dell’innovazione che coinvolge le città che ospitano le Case delle Tecnologie Emergenti (CTE) finanziate dal MIMIT.</w:t>
      </w:r>
    </w:p>
    <w:p w:rsidR="009F1B7C" w:rsidRDefault="009F1B7C" w:rsidP="009F1B7C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L’edizione 2024 si concentrerà sulle opportunità di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matching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e networking tra startup, PMI, imprese del territorio e i principali investitori pubblici e privati, con l’obiettivo di creare sinergie strategiche per lo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sviluppo imprenditoriale</w:t>
      </w:r>
      <w:r>
        <w:rPr>
          <w:rFonts w:ascii="Titillium Web" w:hAnsi="Titillium Web"/>
          <w:color w:val="19191A"/>
          <w:sz w:val="30"/>
          <w:szCs w:val="30"/>
        </w:rPr>
        <w:t> e convalidare il ruolo delle CTE come aggregatori di innovazione sul territorio e acceleratori di sviluppo.</w:t>
      </w:r>
    </w:p>
    <w:p w:rsidR="009F1B7C" w:rsidRDefault="009F1B7C" w:rsidP="009F1B7C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Gli incontri si svolgeranno lungo tutto il territorio nazionale con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sette tappe</w:t>
      </w:r>
      <w:r>
        <w:rPr>
          <w:rFonts w:ascii="Titillium Web" w:hAnsi="Titillium Web"/>
          <w:color w:val="19191A"/>
          <w:sz w:val="30"/>
          <w:szCs w:val="30"/>
        </w:rPr>
        <w:t> strategiche nelle città di Bologna, Campobasso, Taranto, Cagliari, Napoli, Pesaro e Genova.</w:t>
      </w:r>
      <w:r>
        <w:rPr>
          <w:rFonts w:ascii="Titillium Web" w:hAnsi="Titillium Web"/>
          <w:color w:val="19191A"/>
          <w:sz w:val="30"/>
          <w:szCs w:val="30"/>
        </w:rPr>
        <w:br/>
        <w:t>L’obiettivo è quello di mettere in rete i territori con l’ecosistema dell’innovazione e far conoscere gli incentivi nazionali del Ministero a sostegno delle imprese innovative.</w:t>
      </w:r>
    </w:p>
    <w:p w:rsidR="009F1B7C" w:rsidRDefault="009F1B7C" w:rsidP="009F1B7C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Il tour 2024 partirà nel mese di marzo da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Bologna</w:t>
      </w:r>
      <w:r>
        <w:rPr>
          <w:rFonts w:ascii="Titillium Web" w:hAnsi="Titillium Web"/>
          <w:color w:val="19191A"/>
          <w:sz w:val="30"/>
          <w:szCs w:val="30"/>
        </w:rPr>
        <w:t> e affronterà il tema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“</w:t>
      </w:r>
      <w:proofErr w:type="spellStart"/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IoT</w:t>
      </w:r>
      <w:proofErr w:type="spellEnd"/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 xml:space="preserve"> e industria 4.0”</w:t>
      </w:r>
      <w:r>
        <w:rPr>
          <w:rFonts w:ascii="Titillium Web" w:hAnsi="Titillium Web"/>
          <w:color w:val="19191A"/>
          <w:sz w:val="30"/>
          <w:szCs w:val="30"/>
        </w:rPr>
        <w:t>, con una sezione speciale dedicata all’expo delle CTE, in cui ogni Casa e i rispettivi partner avranno l'opportunità di presentare le sperimentazioni condotte e le soluzioni sviluppate, coinvolgendo sia le Case stesse che le startup e le imprese del proprio ecosistema.</w:t>
      </w:r>
      <w:r>
        <w:rPr>
          <w:rFonts w:ascii="Titillium Web" w:hAnsi="Titillium Web"/>
          <w:color w:val="19191A"/>
          <w:sz w:val="30"/>
          <w:szCs w:val="30"/>
        </w:rPr>
        <w:br/>
        <w:t>Seguiranno poi le successive tappe per illustrare le applicazioni delle tecnologie emergenti in specifici settori.</w:t>
      </w:r>
    </w:p>
    <w:p w:rsidR="009F1B7C" w:rsidRDefault="009F1B7C"/>
    <w:sectPr w:rsidR="009F1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7C"/>
    <w:rsid w:val="009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2ECA-EBD6-40E4-8247-B018209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2024-02-13T10:32:00Z</dcterms:created>
  <dcterms:modified xsi:type="dcterms:W3CDTF">2024-02-13T10:33:00Z</dcterms:modified>
</cp:coreProperties>
</file>