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003" w:rsidRPr="00B92003" w:rsidRDefault="00B92003" w:rsidP="00B92003">
      <w:pPr>
        <w:spacing w:after="150" w:line="240" w:lineRule="auto"/>
        <w:jc w:val="center"/>
        <w:rPr>
          <w:rFonts w:ascii="Titillium Web" w:eastAsia="Times New Roman" w:hAnsi="Titillium Web" w:cs="Times New Roman"/>
          <w:b/>
          <w:color w:val="000000"/>
          <w:sz w:val="40"/>
          <w:szCs w:val="40"/>
          <w:lang w:eastAsia="it-IT"/>
        </w:rPr>
      </w:pPr>
      <w:r w:rsidRPr="00B92003">
        <w:rPr>
          <w:rFonts w:ascii="Titillium Web" w:eastAsia="Times New Roman" w:hAnsi="Titillium Web" w:cs="Times New Roman"/>
          <w:b/>
          <w:color w:val="000000"/>
          <w:sz w:val="40"/>
          <w:szCs w:val="40"/>
          <w:lang w:eastAsia="it-IT"/>
        </w:rPr>
        <w:t>Credito d'imposta formazione 4.0</w:t>
      </w:r>
    </w:p>
    <w:p w:rsidR="00B92003" w:rsidRPr="00B92003" w:rsidRDefault="00B92003" w:rsidP="00B92003">
      <w:pPr>
        <w:spacing w:after="150" w:line="240" w:lineRule="auto"/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</w:pP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t>Investimenti delle imprese nella formazione del personale</w:t>
      </w:r>
    </w:p>
    <w:p w:rsidR="00B92003" w:rsidRPr="00B92003" w:rsidRDefault="00B92003" w:rsidP="00B92003">
      <w:pPr>
        <w:spacing w:after="150" w:line="240" w:lineRule="auto"/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</w:pP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t>Attività di formazione ammissibili</w:t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br/>
        <w:t xml:space="preserve">Le attività formative dovranno riguardare: </w:t>
      </w:r>
      <w:bookmarkStart w:id="0" w:name="_GoBack"/>
      <w:bookmarkEnd w:id="0"/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t>vendite e marketing, informatica, tecniche e tecnologia di produzione.</w:t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br/>
        <w:t>Tematiche della Formazione 4.0</w:t>
      </w:r>
    </w:p>
    <w:p w:rsidR="00B92003" w:rsidRPr="00B92003" w:rsidRDefault="00B92003" w:rsidP="00B92003">
      <w:pPr>
        <w:spacing w:after="150" w:line="240" w:lineRule="auto"/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</w:pP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sym w:font="Symbol" w:char="F0B7"/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t xml:space="preserve"> </w:t>
      </w:r>
      <w:proofErr w:type="gramStart"/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t>big</w:t>
      </w:r>
      <w:proofErr w:type="gramEnd"/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t xml:space="preserve"> data e analisi dei dati;</w:t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br/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sym w:font="Symbol" w:char="F0B7"/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t xml:space="preserve"> </w:t>
      </w:r>
      <w:proofErr w:type="spellStart"/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t>cloud</w:t>
      </w:r>
      <w:proofErr w:type="spellEnd"/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t xml:space="preserve"> e </w:t>
      </w:r>
      <w:proofErr w:type="spellStart"/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t>fog</w:t>
      </w:r>
      <w:proofErr w:type="spellEnd"/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t xml:space="preserve"> </w:t>
      </w:r>
      <w:proofErr w:type="spellStart"/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t>computing</w:t>
      </w:r>
      <w:proofErr w:type="spellEnd"/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t>;</w:t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br/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sym w:font="Symbol" w:char="F0B7"/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t xml:space="preserve"> cyber security;</w:t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br/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sym w:font="Symbol" w:char="F0B7"/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t xml:space="preserve"> simulazione e sistemi cyber-fisici;</w:t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br/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sym w:font="Symbol" w:char="F0B7"/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t xml:space="preserve"> prototipazione rapida;</w:t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br/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sym w:font="Symbol" w:char="F0B7"/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t xml:space="preserve"> sistemi di visualizzazione, realtà virtuale (</w:t>
      </w:r>
      <w:proofErr w:type="spellStart"/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t>rv</w:t>
      </w:r>
      <w:proofErr w:type="spellEnd"/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t>) e realtà aumentata (</w:t>
      </w:r>
      <w:proofErr w:type="spellStart"/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t>ra</w:t>
      </w:r>
      <w:proofErr w:type="spellEnd"/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t>);</w:t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br/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sym w:font="Symbol" w:char="F0B7"/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t xml:space="preserve"> robotica avanzata e collaborativa;</w:t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br/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sym w:font="Symbol" w:char="F0B7"/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t xml:space="preserve"> interfaccia uomo macchina;</w:t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br/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sym w:font="Symbol" w:char="F0B7"/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t xml:space="preserve"> manifattura additiva (o stampa tridimensionale);</w:t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br/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sym w:font="Symbol" w:char="F0B7"/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t xml:space="preserve"> internet delle cose e delle macchine;</w:t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br/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sym w:font="Symbol" w:char="F0B7"/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t xml:space="preserve"> integrazione digitale dei processi aziendali.</w:t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br/>
        <w:t> A chi si rivolge</w:t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br/>
        <w:t>Tutte le imprese residenti nel territorio dello Stato, incluse le stabili organizzazioni di soggetti non residenti,</w:t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br/>
        <w:t>indipendentemente dalla natura giuridica, dal settore economico di appartenenza, dalla dimensione, dal regime</w:t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br/>
        <w:t>contabile e dal sistema di determinazione del reddito ai fini fiscali.</w:t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br/>
        <w:t>Sono escluse le imprese in stato di liquidazione volontaria, fallimento, liquidazione coatta amministrativa, concordato</w:t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br/>
        <w:t>preventivo senza continuità aziendale, altra procedura concorsuale. Sono inoltre escluse le imprese destinatarie di</w:t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br/>
        <w:t xml:space="preserve">sanzioni </w:t>
      </w:r>
      <w:proofErr w:type="spellStart"/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t>interdittive</w:t>
      </w:r>
      <w:proofErr w:type="spellEnd"/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t xml:space="preserve"> ai sensi dell’articolo 9, comma 2, del decreto legislativo 8 giugno 2001, n. 231.</w:t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br/>
        <w:t>La fruizione del beneficio spettante è subordinata alla condizione del rispetto delle normative sulla sicurezza nei luoghi</w:t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br/>
        <w:t>di lavoro e al corretto adempimento degli obblighi di versamento dei contributi previdenziali e assistenziali a favore</w:t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br/>
        <w:t>dei lavoratori.</w:t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br/>
        <w:t> Spese ammissibili</w:t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br/>
        <w:t>Sono ammissibili al credito d’imposta le seguenti spese:</w:t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br/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sym w:font="Symbol" w:char="F0B7"/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t xml:space="preserve"> spese di personale relative ai formatori per le ore di partecipazione alla formazione;</w:t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br/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sym w:font="Symbol" w:char="F0B7"/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t xml:space="preserve"> costi di esercizio relativi a formatori e partecipanti alla formazione direttamente connessi al progetto di</w:t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br/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lastRenderedPageBreak/>
        <w:t>formazione, quali le spese di viaggio, i materiali e le forniture con attinenza diretta al progetto,</w:t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br/>
        <w:t>l’ammortamento degli strumenti e delle attrezzature per la quota da riferire al loro uso esclusivo per il</w:t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br/>
        <w:t>progetto di formazione. Sono escluse le spese di alloggio, ad eccezione delle spese di alloggio minime</w:t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br/>
        <w:t>necessarie per i partecipanti che sono lavoratori con disabilità;</w:t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br/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sym w:font="Symbol" w:char="F0B7"/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t xml:space="preserve"> costi dei servizi di consulenza connessi al progetto di formazione;</w:t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br/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sym w:font="Symbol" w:char="F0B7"/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t xml:space="preserve"> spese di personale relative ai partecipanti alla formazione e le spese generali indirette (spese amministrative,</w:t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br/>
        <w:t>locazione, spese generali) per le ore durante le quali i partecipanti hanno seguito la formazione.</w:t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br/>
        <w:t>Sono ammissibili anche le eventuali spese relative al personale dipendente ordinariamente occupato in uno degli</w:t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br/>
        <w:t>ambiti aziendali individuati nell’allegato A della legge n. 205 del 2017 e che partecipi in veste di docente o tutor alle</w:t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br/>
        <w:t>attività di formazione ammissibili.</w:t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br/>
        <w:t>Erogazione delle attività formative</w:t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br/>
        <w:t>Internamente attraverso personale dipendente; nel caso in cui le attività di formazione siano erogate da soggetti</w:t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br/>
        <w:t>esterni all’impresa si considerano ammissibili solo le attività commissionate a:</w:t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br/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sym w:font="Symbol" w:char="F0B7"/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t xml:space="preserve"> Soggetti accreditati per lo svolgimento di attività di formazione finanziata presso la Regione o Provincia</w:t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br/>
        <w:t>autonoma in cui l’impresa ha la sede legale o la sede operativa;</w:t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br/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sym w:font="Symbol" w:char="F0B7"/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t xml:space="preserve"> Università, pubbliche o private, o strutture a esse collegate;</w:t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br/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sym w:font="Symbol" w:char="F0B7"/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t xml:space="preserve"> Soggetti accreditati presso i fondi interprofessionali secondo il regolamento CE 68/01 della Commissione del</w:t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br/>
        <w:t>12 gennaio 2001;</w:t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br/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sym w:font="Symbol" w:char="F0B7"/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t xml:space="preserve"> Soggetti in possesso della certificazione di qualità in base alla norma Uni En ISO 9001:2000 settore EA 37;</w:t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br/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sym w:font="Symbol" w:char="F0B7"/>
      </w:r>
      <w:r w:rsidRPr="00B92003">
        <w:rPr>
          <w:rFonts w:ascii="Titillium Web" w:eastAsia="Times New Roman" w:hAnsi="Titillium Web" w:cs="Times New Roman"/>
          <w:color w:val="000000"/>
          <w:sz w:val="29"/>
          <w:szCs w:val="29"/>
          <w:lang w:eastAsia="it-IT"/>
        </w:rPr>
        <w:t xml:space="preserve"> ITS.</w:t>
      </w:r>
    </w:p>
    <w:p w:rsidR="000404B3" w:rsidRDefault="000404B3" w:rsidP="00B92003"/>
    <w:sectPr w:rsidR="000404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illium Web">
    <w:altName w:val="Arial"/>
    <w:charset w:val="4D"/>
    <w:family w:val="auto"/>
    <w:pitch w:val="variable"/>
    <w:sig w:usb0="00000001" w:usb1="00000001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003"/>
    <w:rsid w:val="000404B3"/>
    <w:rsid w:val="00B9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38DA0-319A-4E5E-A2D2-0586F3C18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Storelli</dc:creator>
  <cp:keywords/>
  <dc:description/>
  <cp:lastModifiedBy>Giuseppe Storelli</cp:lastModifiedBy>
  <cp:revision>1</cp:revision>
  <dcterms:created xsi:type="dcterms:W3CDTF">2024-01-19T11:16:00Z</dcterms:created>
  <dcterms:modified xsi:type="dcterms:W3CDTF">2024-01-19T11:17:00Z</dcterms:modified>
</cp:coreProperties>
</file>