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Style w:val="Enfasigrassetto"/>
          <w:rFonts w:ascii="Titillium Web" w:hAnsi="Titillium Web"/>
          <w:color w:val="000000"/>
          <w:sz w:val="29"/>
          <w:szCs w:val="29"/>
        </w:rPr>
        <w:t>Bando Voucher Doppia Transizione "Digitale ed Ecologica" - Anno 2023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bookmarkStart w:id="0" w:name="_GoBack"/>
      <w:bookmarkEnd w:id="0"/>
      <w:r>
        <w:rPr>
          <w:rFonts w:ascii="Titillium Web" w:hAnsi="Titillium Web"/>
          <w:color w:val="000000"/>
          <w:sz w:val="29"/>
          <w:szCs w:val="29"/>
        </w:rPr>
        <w:t>La Camera di Commercio di Brindisi, nell’ambito dell’iniziativa strategica di sistema “La doppia transizione digitale ed ecologica” </w:t>
      </w:r>
      <w:r>
        <w:rPr>
          <w:rStyle w:val="Enfasicorsivo"/>
          <w:rFonts w:ascii="Titillium Web" w:eastAsiaTheme="majorEastAsia" w:hAnsi="Titillium Web"/>
          <w:color w:val="000000"/>
          <w:sz w:val="29"/>
          <w:szCs w:val="29"/>
        </w:rPr>
        <w:t xml:space="preserve">autorizzata dal Ministero delle Imprese e del Made in </w:t>
      </w:r>
      <w:proofErr w:type="spellStart"/>
      <w:r>
        <w:rPr>
          <w:rStyle w:val="Enfasicorsivo"/>
          <w:rFonts w:ascii="Titillium Web" w:eastAsiaTheme="majorEastAsia" w:hAnsi="Titillium Web"/>
          <w:color w:val="000000"/>
          <w:sz w:val="29"/>
          <w:szCs w:val="29"/>
        </w:rPr>
        <w:t>Italy</w:t>
      </w:r>
      <w:proofErr w:type="spellEnd"/>
      <w:r>
        <w:rPr>
          <w:rStyle w:val="Enfasicorsivo"/>
          <w:rFonts w:ascii="Titillium Web" w:eastAsiaTheme="majorEastAsia" w:hAnsi="Titillium Web"/>
          <w:color w:val="000000"/>
          <w:sz w:val="29"/>
          <w:szCs w:val="29"/>
        </w:rPr>
        <w:t xml:space="preserve"> con decreto del 23 febbraio 2023</w:t>
      </w:r>
      <w:r>
        <w:rPr>
          <w:rFonts w:ascii="Titillium Web" w:hAnsi="Titillium Web"/>
          <w:color w:val="000000"/>
          <w:sz w:val="29"/>
          <w:szCs w:val="29"/>
        </w:rPr>
        <w:t>, promuove la diffusione della cultura, della pratica digitale e della transizione ecologica nelle MPMI di tutti i settori economici attraverso il sostegno economico a fondo perduto per le iniziative di digitalizzazione e di transizione energetica del tessuto produttivo.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Con Determinazione Commissariale n.51 del 27/11/2023, è stato approvato il </w:t>
      </w:r>
      <w:r>
        <w:rPr>
          <w:rStyle w:val="Enfasigrassetto"/>
          <w:rFonts w:ascii="Titillium Web" w:hAnsi="Titillium Web"/>
          <w:color w:val="000000"/>
          <w:sz w:val="29"/>
          <w:szCs w:val="29"/>
        </w:rPr>
        <w:t>Bando Voucher Doppia Transizione "digitale ed ecologica" - Anno 2023</w:t>
      </w:r>
      <w:r>
        <w:rPr>
          <w:rFonts w:ascii="Titillium Web" w:hAnsi="Titillium Web"/>
          <w:color w:val="000000"/>
          <w:sz w:val="29"/>
          <w:szCs w:val="29"/>
        </w:rPr>
        <w:t>, rivolto alle micro piccole e medie imprese (MPMI) aventi sede legale e/o unità locali nella circoscrizione territoriale della Camera di Commercio di Brindisi che eroga voucher a copertura del 70% delle spese per servizi di consulenza e/o di formazione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Style w:val="Enfasicorsivo"/>
          <w:rFonts w:ascii="Titillium Web" w:eastAsiaTheme="majorEastAsia" w:hAnsi="Titillium Web"/>
          <w:color w:val="000000"/>
          <w:sz w:val="29"/>
          <w:szCs w:val="29"/>
        </w:rPr>
        <w:t>per la Misura A e la Misura B</w:t>
      </w:r>
      <w:r>
        <w:rPr>
          <w:rFonts w:ascii="Titillium Web" w:hAnsi="Titillium Web"/>
          <w:color w:val="000000"/>
          <w:sz w:val="29"/>
          <w:szCs w:val="29"/>
        </w:rPr>
        <w:t> e acquisto di beni e servizi strumentali,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Style w:val="Enfasicorsivo"/>
          <w:rFonts w:ascii="Titillium Web" w:eastAsiaTheme="majorEastAsia" w:hAnsi="Titillium Web"/>
          <w:color w:val="000000"/>
          <w:sz w:val="29"/>
          <w:szCs w:val="29"/>
        </w:rPr>
        <w:t>solo Misura A</w:t>
      </w:r>
      <w:r>
        <w:rPr>
          <w:rFonts w:ascii="Titillium Web" w:hAnsi="Titillium Web"/>
          <w:color w:val="000000"/>
          <w:sz w:val="29"/>
          <w:szCs w:val="29"/>
        </w:rPr>
        <w:t>, funzionali all’acquisizione delle tecnologie abilitanti ricomprese nel bando.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Il Bando, che prevede una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Style w:val="Enfasigrassetto"/>
          <w:rFonts w:ascii="Titillium Web" w:hAnsi="Titillium Web"/>
          <w:color w:val="000000"/>
          <w:sz w:val="29"/>
          <w:szCs w:val="29"/>
        </w:rPr>
        <w:t>dotazione finanziaria complessiva di 170.000,00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Style w:val="Enfasigrassetto"/>
          <w:rFonts w:ascii="Titillium Web" w:hAnsi="Titillium Web"/>
          <w:color w:val="000000"/>
          <w:sz w:val="29"/>
          <w:szCs w:val="29"/>
        </w:rPr>
        <w:t>€</w:t>
      </w:r>
      <w:r>
        <w:rPr>
          <w:rFonts w:ascii="Titillium Web" w:hAnsi="Titillium Web"/>
          <w:color w:val="000000"/>
          <w:sz w:val="29"/>
          <w:szCs w:val="29"/>
        </w:rPr>
        <w:t>, prevede una procedura valutativa a sportello secondo l’ordine cronologico di presentazione della domanda, da suddividere in due linee di intervento:</w:t>
      </w:r>
    </w:p>
    <w:p w:rsidR="007D4B0C" w:rsidRDefault="007D4B0C" w:rsidP="007D4B0C">
      <w:pPr>
        <w:numPr>
          <w:ilvl w:val="0"/>
          <w:numId w:val="1"/>
        </w:numPr>
        <w:spacing w:before="100" w:beforeAutospacing="1"/>
        <w:rPr>
          <w:rFonts w:ascii="Titillium Web" w:hAnsi="Titillium Web"/>
          <w:color w:val="000000"/>
          <w:sz w:val="29"/>
          <w:szCs w:val="29"/>
        </w:rPr>
      </w:pPr>
      <w:r>
        <w:rPr>
          <w:rStyle w:val="Enfasigrassetto"/>
          <w:rFonts w:ascii="Titillium Web" w:hAnsi="Titillium Web"/>
          <w:color w:val="000000"/>
          <w:sz w:val="29"/>
          <w:szCs w:val="29"/>
        </w:rPr>
        <w:t>Misura A - Digitale, voucher massimo 4.000 €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Fonts w:ascii="Titillium Web" w:hAnsi="Titillium Web"/>
          <w:color w:val="000000"/>
          <w:sz w:val="29"/>
          <w:szCs w:val="29"/>
        </w:rPr>
        <w:t>(</w:t>
      </w:r>
      <w:r>
        <w:rPr>
          <w:rStyle w:val="Enfasicorsivo"/>
          <w:rFonts w:ascii="Titillium Web" w:hAnsi="Titillium Web"/>
          <w:color w:val="000000"/>
          <w:sz w:val="29"/>
          <w:szCs w:val="29"/>
        </w:rPr>
        <w:t>importo minimo investimento 2.000 €</w:t>
      </w:r>
      <w:r>
        <w:rPr>
          <w:rFonts w:ascii="Titillium Web" w:hAnsi="Titillium Web"/>
          <w:color w:val="000000"/>
          <w:sz w:val="29"/>
          <w:szCs w:val="29"/>
        </w:rPr>
        <w:t>) – Servizi di consulenza e/o formazione sulle tecnologie I 4.0 e acquisto beni strumentali materiali ed immateriali;</w:t>
      </w:r>
    </w:p>
    <w:p w:rsidR="007D4B0C" w:rsidRDefault="007D4B0C" w:rsidP="007D4B0C">
      <w:pPr>
        <w:numPr>
          <w:ilvl w:val="0"/>
          <w:numId w:val="1"/>
        </w:numPr>
        <w:spacing w:before="100" w:beforeAutospacing="1"/>
        <w:rPr>
          <w:rFonts w:ascii="Titillium Web" w:hAnsi="Titillium Web"/>
          <w:color w:val="000000"/>
          <w:sz w:val="29"/>
          <w:szCs w:val="29"/>
        </w:rPr>
      </w:pPr>
      <w:r>
        <w:rPr>
          <w:rStyle w:val="Enfasigrassetto"/>
          <w:rFonts w:ascii="Titillium Web" w:hAnsi="Titillium Web"/>
          <w:color w:val="000000"/>
          <w:sz w:val="29"/>
          <w:szCs w:val="29"/>
        </w:rPr>
        <w:t>Misura B - Energia, voucher massimo 3.000 €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Fonts w:ascii="Titillium Web" w:hAnsi="Titillium Web"/>
          <w:color w:val="000000"/>
          <w:sz w:val="29"/>
          <w:szCs w:val="29"/>
        </w:rPr>
        <w:t>(</w:t>
      </w:r>
      <w:r>
        <w:rPr>
          <w:rStyle w:val="Enfasicorsivo"/>
          <w:rFonts w:ascii="Titillium Web" w:hAnsi="Titillium Web"/>
          <w:color w:val="000000"/>
          <w:sz w:val="29"/>
          <w:szCs w:val="29"/>
        </w:rPr>
        <w:t>importo minimo investimento 1.000 €</w:t>
      </w:r>
      <w:r>
        <w:rPr>
          <w:rFonts w:ascii="Titillium Web" w:hAnsi="Titillium Web"/>
          <w:color w:val="000000"/>
          <w:sz w:val="29"/>
          <w:szCs w:val="29"/>
        </w:rPr>
        <w:t>) – Servizi di consulenza e/o formazione per la transizione energetica.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 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Style w:val="Enfasigrassetto"/>
          <w:rFonts w:ascii="Titillium Web" w:hAnsi="Titillium Web"/>
          <w:color w:val="000000"/>
          <w:sz w:val="29"/>
          <w:szCs w:val="29"/>
        </w:rPr>
        <w:t xml:space="preserve">Le richieste di voucher potranno essere trasmesse esclusivamente in modalità telematica, con firma digitale, attraverso lo sportello on line “Contributi alle imprese”, all’interno del sistema </w:t>
      </w:r>
      <w:proofErr w:type="spellStart"/>
      <w:r>
        <w:rPr>
          <w:rStyle w:val="Enfasigrassetto"/>
          <w:rFonts w:ascii="Titillium Web" w:hAnsi="Titillium Web"/>
          <w:color w:val="000000"/>
          <w:sz w:val="29"/>
          <w:szCs w:val="29"/>
        </w:rPr>
        <w:t>Webtelemaco</w:t>
      </w:r>
      <w:proofErr w:type="spellEnd"/>
      <w:r>
        <w:rPr>
          <w:rStyle w:val="Enfasigrassetto"/>
          <w:rFonts w:ascii="Titillium Web" w:hAnsi="Titillium Web"/>
          <w:color w:val="000000"/>
          <w:sz w:val="29"/>
          <w:szCs w:val="29"/>
        </w:rPr>
        <w:t xml:space="preserve"> di </w:t>
      </w:r>
      <w:proofErr w:type="spellStart"/>
      <w:r>
        <w:rPr>
          <w:rStyle w:val="Enfasigrassetto"/>
          <w:rFonts w:ascii="Titillium Web" w:hAnsi="Titillium Web"/>
          <w:color w:val="000000"/>
          <w:sz w:val="29"/>
          <w:szCs w:val="29"/>
        </w:rPr>
        <w:t>Infocamere</w:t>
      </w:r>
      <w:proofErr w:type="spellEnd"/>
      <w:r>
        <w:rPr>
          <w:rStyle w:val="Enfasigrassetto"/>
          <w:rFonts w:ascii="Titillium Web" w:hAnsi="Titillium Web"/>
          <w:color w:val="000000"/>
          <w:sz w:val="29"/>
          <w:szCs w:val="29"/>
        </w:rPr>
        <w:t xml:space="preserve"> - Servizi e-</w:t>
      </w:r>
      <w:proofErr w:type="spellStart"/>
      <w:r>
        <w:rPr>
          <w:rStyle w:val="Enfasigrassetto"/>
          <w:rFonts w:ascii="Titillium Web" w:hAnsi="Titillium Web"/>
          <w:color w:val="000000"/>
          <w:sz w:val="29"/>
          <w:szCs w:val="29"/>
        </w:rPr>
        <w:t>gov</w:t>
      </w:r>
      <w:proofErr w:type="spellEnd"/>
      <w:r>
        <w:rPr>
          <w:rStyle w:val="Enfasigrassetto"/>
          <w:rFonts w:ascii="Titillium Web" w:hAnsi="Titillium Web"/>
          <w:color w:val="000000"/>
          <w:sz w:val="29"/>
          <w:szCs w:val="29"/>
        </w:rPr>
        <w:t xml:space="preserve">. </w:t>
      </w:r>
      <w:proofErr w:type="gramStart"/>
      <w:r>
        <w:rPr>
          <w:rStyle w:val="Enfasigrassetto"/>
          <w:rFonts w:ascii="Titillium Web" w:hAnsi="Titillium Web"/>
          <w:color w:val="000000"/>
          <w:sz w:val="29"/>
          <w:szCs w:val="29"/>
        </w:rPr>
        <w:t>dalle</w:t>
      </w:r>
      <w:proofErr w:type="gramEnd"/>
      <w:r>
        <w:rPr>
          <w:rStyle w:val="Enfasigrassetto"/>
          <w:rFonts w:ascii="Titillium Web" w:hAnsi="Titillium Web"/>
          <w:color w:val="000000"/>
          <w:sz w:val="29"/>
          <w:szCs w:val="29"/>
        </w:rPr>
        <w:t xml:space="preserve"> ore 09:00 del 15/12/2023 alle ore 12:00 del 30/01/2024.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 </w:t>
      </w:r>
    </w:p>
    <w:p w:rsidR="007D4B0C" w:rsidRDefault="007D4B0C" w:rsidP="007D4B0C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- Vai alla pagina del</w:t>
      </w:r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hyperlink r:id="rId5" w:history="1">
        <w:r>
          <w:rPr>
            <w:rStyle w:val="Collegamentoipertestuale"/>
            <w:rFonts w:ascii="Titillium Web" w:hAnsi="Titillium Web"/>
            <w:color w:val="0079C0"/>
            <w:sz w:val="29"/>
            <w:szCs w:val="29"/>
          </w:rPr>
          <w:t>BANDO</w:t>
        </w:r>
      </w:hyperlink>
      <w:r>
        <w:rPr>
          <w:rStyle w:val="apple-converted-space"/>
          <w:rFonts w:ascii="Titillium Web" w:hAnsi="Titillium Web"/>
          <w:color w:val="000000"/>
          <w:sz w:val="29"/>
          <w:szCs w:val="29"/>
        </w:rPr>
        <w:t> </w:t>
      </w:r>
      <w:r>
        <w:rPr>
          <w:rFonts w:ascii="Titillium Web" w:hAnsi="Titillium Web"/>
          <w:color w:val="000000"/>
          <w:sz w:val="29"/>
          <w:szCs w:val="29"/>
        </w:rPr>
        <w:t>-</w:t>
      </w:r>
    </w:p>
    <w:p w:rsidR="000404B3" w:rsidRDefault="000404B3"/>
    <w:sectPr w:rsidR="00040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607"/>
    <w:multiLevelType w:val="multilevel"/>
    <w:tmpl w:val="BD0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0C"/>
    <w:rsid w:val="000404B3"/>
    <w:rsid w:val="007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1B8D3-E18B-4F5E-A2CA-2F7AD3FC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4B0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4B0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D4B0C"/>
    <w:rPr>
      <w:b/>
      <w:bCs/>
    </w:rPr>
  </w:style>
  <w:style w:type="character" w:styleId="Enfasicorsivo">
    <w:name w:val="Emphasis"/>
    <w:basedOn w:val="Carpredefinitoparagrafo"/>
    <w:uiPriority w:val="20"/>
    <w:qFormat/>
    <w:rsid w:val="007D4B0C"/>
    <w:rPr>
      <w:i/>
      <w:iCs/>
    </w:rPr>
  </w:style>
  <w:style w:type="character" w:customStyle="1" w:styleId="apple-converted-space">
    <w:name w:val="apple-converted-space"/>
    <w:basedOn w:val="Carpredefinitoparagrafo"/>
    <w:rsid w:val="007D4B0C"/>
  </w:style>
  <w:style w:type="character" w:styleId="Collegamentoipertestuale">
    <w:name w:val="Hyperlink"/>
    <w:basedOn w:val="Carpredefinitoparagrafo"/>
    <w:uiPriority w:val="99"/>
    <w:semiHidden/>
    <w:unhideWhenUsed/>
    <w:rsid w:val="007D4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.camcom.it/servizi-e-modulistica/punto-impresa-digitale/bando-voucher-doppia-transizione-anno-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2024-01-19T11:26:00Z</dcterms:created>
  <dcterms:modified xsi:type="dcterms:W3CDTF">2024-01-19T11:26:00Z</dcterms:modified>
</cp:coreProperties>
</file>